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C9" w:rsidRPr="00F151C9" w:rsidRDefault="00F151C9" w:rsidP="00F151C9">
      <w:pPr>
        <w:spacing w:before="600" w:after="150" w:line="240" w:lineRule="auto"/>
        <w:outlineLvl w:val="1"/>
        <w:rPr>
          <w:rFonts w:ascii="Tahoma" w:eastAsia="Times New Roman" w:hAnsi="Tahoma" w:cs="Tahoma"/>
          <w:color w:val="DC0032"/>
          <w:sz w:val="36"/>
          <w:szCs w:val="36"/>
          <w:lang w:eastAsia="cs-CZ"/>
        </w:rPr>
      </w:pPr>
      <w:r w:rsidRPr="00F151C9">
        <w:rPr>
          <w:rFonts w:ascii="Tahoma" w:eastAsia="Times New Roman" w:hAnsi="Tahoma" w:cs="Tahoma"/>
          <w:color w:val="DC0032"/>
          <w:sz w:val="36"/>
          <w:szCs w:val="36"/>
          <w:lang w:eastAsia="cs-CZ"/>
        </w:rPr>
        <w:t xml:space="preserve">Sumář výsledků </w:t>
      </w:r>
      <w:proofErr w:type="gramStart"/>
      <w:r w:rsidRPr="00F151C9">
        <w:rPr>
          <w:rFonts w:ascii="Tahoma" w:eastAsia="Times New Roman" w:hAnsi="Tahoma" w:cs="Tahoma"/>
          <w:color w:val="DC0032"/>
          <w:sz w:val="36"/>
          <w:szCs w:val="36"/>
          <w:lang w:eastAsia="cs-CZ"/>
        </w:rPr>
        <w:t>jednáních</w:t>
      </w:r>
      <w:proofErr w:type="gramEnd"/>
      <w:r w:rsidRPr="00F151C9">
        <w:rPr>
          <w:rFonts w:ascii="Tahoma" w:eastAsia="Times New Roman" w:hAnsi="Tahoma" w:cs="Tahoma"/>
          <w:color w:val="DC0032"/>
          <w:sz w:val="36"/>
          <w:szCs w:val="36"/>
          <w:lang w:eastAsia="cs-CZ"/>
        </w:rPr>
        <w:t xml:space="preserve"> a přijatých opatření ve městě Humpolci k 16. březnu 2020</w:t>
      </w:r>
    </w:p>
    <w:p w:rsidR="00F151C9" w:rsidRPr="00F151C9" w:rsidRDefault="00F151C9" w:rsidP="00F151C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F151C9" w:rsidRDefault="00F151C9" w:rsidP="00F151C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151C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Město Humpolec reaguje na nařízení Vlády ČR platná k dnešnímu dni (16. března 2020) a shrnuje výsledky posledních jednání přímo v Humpolci, která jsou důležitá pro obyvatele města, a to od lékařů, lékárníků, poskytovatelů sociálních služeb, mateřských škol, základních škol jakožto zajišťovatelů školních jídelen i pro cizí strávníky a vedení městského úřadu. Vybrané závěry vchází v platnost </w:t>
      </w:r>
      <w:proofErr w:type="gramStart"/>
      <w:r w:rsidRPr="00F151C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16.3., popř.</w:t>
      </w:r>
      <w:proofErr w:type="gramEnd"/>
      <w:r w:rsidRPr="00F151C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17.3.</w:t>
      </w:r>
    </w:p>
    <w:p w:rsidR="000302C9" w:rsidRPr="00F151C9" w:rsidRDefault="000302C9" w:rsidP="00F151C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F151C9" w:rsidRPr="00F151C9" w:rsidRDefault="00F151C9" w:rsidP="00F151C9">
      <w:pPr>
        <w:spacing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V první řadě je důležité skutečně apelovat na každého z nás, aby nikdo opatření nařízená Vládou ČR nebral na lehkou váhu.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Nezdržujte se na veřejných místech déle, než je nutné.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Choďte do práce a z práce rovnou domů.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Dodržujte nařízenou karanténu, nesnažte se „obejít“ povinnou izolaci po návratu ze zahraničí.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V obchodech se zdržujte jen na nezbytně nutnou dobu.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Dodržováním základních hygienických pravidel (důkladné a časté mytí rukou, kýchání do kapesníku či rukávu apod.) chráníte sebe i své okolí.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Pokud mají mít vydaná nařízení skutečný a co nejrychlejší efekt, je třeba začít se zodpovědností sám u sebe. Tak můžeme celou situaci co nejlépe zvládnout. Děkujeme vám.</w:t>
      </w:r>
    </w:p>
    <w:p w:rsidR="00F151C9" w:rsidRPr="00F151C9" w:rsidRDefault="00F151C9" w:rsidP="00F151C9">
      <w:pPr>
        <w:spacing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LÉKAŘI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Humpolečtí praktičtí lékaři žádají pacienty, kteří nemají akutní zdravotní problém, aby odložili návštěvu v ordinaci.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Praktičtí lékaři neprovádí žádné prevence ani preventivní pracovně-lékařské prohlídky. Nevystavují posudky.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O recept na léky žádejte e-mailem nebo telefonicky, stejně tak o vystavení neschopenky.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Praktičtí lékaři jsou na telefonu. Pokud pociťujete zdravotní obtíže, VOLEJTE! S lékařem se domluvíte na dalším postupu. Bez předchozí telefonické domluvy nebude nikdo ošetřen.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Češi, kteří se vrátili domů z pobytu v rizikových zemí stanovených Vládou ČR, mají povinnost telefonicky nahlásit tuto skutečnost bezprostředně po návratu svému praktickému lékaři, případně krajské hygienické stanici. Stejný postup platí pro ty, kteří byli v kontaktu s nakaženým člověkem. Zákon těmto lidem nařizuje 14denní karanténu.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Praktičtí lékaři zároveň žádají - pokud máte ve svých zásobách roušky či respirátory, poskytněte je zdravotníkům. Pokud lékaři nebudou mít zdravotní pomůcky, nemohou ve svých ordinacích vůbec ordinovat.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Zodpovědným přístupem chráníte jak zdravotníky, tak i sami sebe a zdraví svého okolí.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LÉKÁRNY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Žádáme veřejnost, aby zodpovědně zvažovala své cesty do lékáren a navštěvovala je v případě jen opravdu nutné koupě potřebných léku. V lékárnách respektujte nastavená pravidla jednotlivých zařízení.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lastRenderedPageBreak/>
        <w:t>POSKYTOVATELÉ SOCIÁLNÍCH SLUŽEB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Poskytovatelé sociálních služeb se soustředí na práci v terénu. Seniorům, kteří jejich služby využívali, je péče stále poskytována.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V koordinaci s poskytovateli sociálních služeb a s pomocí praktických lékařů bude od úterý 17. března 2020 v provozu městská Infolinka pro obyvatele v nouzi z Humpolce, jeho místních částí a obcí v rámci ORP Humpolec. Cílem je pomoci tam, kde nefunguje či nemůže fungovat rodina nebo přátelé. Linka bude v provozu zatím každý pracovní den od 9 do 12 hodin.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MATEŘSKÉ ŠKOLY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Humpolecké mateřské školy fungují v omezeném režimu. Od úterý 17. března 2020 budou děti ve školkách Na Rybníčku a Na Skalce, přičemž Na Skalku budou docházet i děti z mateřinky ve Smetanově ulici.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Prosíme rodiče, kteří mohou být s dětmi doma, aby je do školky nevodili.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ŠKOLNÍ JÍDELNY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Prosíme strávníky, aby zvážili, zda docházet pro jídlo do jídelen. V nouzovém režimu by jídelny měly sloužit skutečně těm, kteří nemají možnost uvařit si doma. Školní jídelny, tedy při Základní škole Hálkova a Základní škole Hradská, mají výdejové okénko, kde se tvoří fronty. Ve frontách je doporučeno dodržovat vzájemné rozestupy minimálně 2 metry.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Školní jídelna při ZŠ Hálkova: výdej jídla každý pracovní den mezi 10.30 - 12. hodinou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Školní jídelna při ZŠ Hradská: výdej jídla každý pracovní den mezi 11. - 14. hodinou</w:t>
      </w: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</w:p>
    <w:p w:rsidR="00F151C9" w:rsidRPr="00F151C9" w:rsidRDefault="00F151C9" w:rsidP="00F151C9">
      <w:pPr>
        <w:spacing w:before="90" w:after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MĚSTSKÝ ÚŘAD HUMPOLEC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Podle nařízení Vlády ČR je od pondělí 16. března 2020 omezen provoz Městského úřadu Humpolec pro veřejnost.</w:t>
      </w:r>
    </w:p>
    <w:p w:rsidR="00F151C9" w:rsidRPr="00F151C9" w:rsidRDefault="00F151C9" w:rsidP="00F151C9">
      <w:pPr>
        <w:spacing w:before="90" w:line="240" w:lineRule="auto"/>
        <w:rPr>
          <w:rFonts w:ascii="Tahoma" w:eastAsia="Times New Roman" w:hAnsi="Tahoma" w:cs="Tahoma"/>
          <w:color w:val="1D2129"/>
          <w:sz w:val="21"/>
          <w:szCs w:val="21"/>
          <w:lang w:eastAsia="cs-CZ"/>
        </w:rPr>
      </w:pP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t>Omezené úřední hodiny platí zatím do 24. března 2020: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Pondělí - 8 - 11 hod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Středa - 13 - 16 hod.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Mimo tyto úřední hodiny budou budovy a kanceláře všech agend uzavřeny.</w:t>
      </w:r>
      <w:r w:rsidRPr="00F151C9">
        <w:rPr>
          <w:rFonts w:ascii="Tahoma" w:eastAsia="Times New Roman" w:hAnsi="Tahoma" w:cs="Tahoma"/>
          <w:color w:val="1D2129"/>
          <w:sz w:val="21"/>
          <w:szCs w:val="21"/>
          <w:lang w:eastAsia="cs-CZ"/>
        </w:rPr>
        <w:br/>
        <w:t>Prosíme veřejnost, aby v nejvyšší možné míře využívala podání elektronickou cestou, případně platby převodem přes účet.</w:t>
      </w:r>
    </w:p>
    <w:p w:rsidR="00EA6D44" w:rsidRPr="000302C9" w:rsidRDefault="00EA6D44">
      <w:pPr>
        <w:rPr>
          <w:rFonts w:ascii="Tahoma" w:hAnsi="Tahoma" w:cs="Tahoma"/>
        </w:rPr>
      </w:pPr>
    </w:p>
    <w:sectPr w:rsidR="00EA6D44" w:rsidRPr="0003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C9"/>
    <w:rsid w:val="000302C9"/>
    <w:rsid w:val="003B2EC0"/>
    <w:rsid w:val="003C24BE"/>
    <w:rsid w:val="00445663"/>
    <w:rsid w:val="004D6806"/>
    <w:rsid w:val="006C0705"/>
    <w:rsid w:val="009A1995"/>
    <w:rsid w:val="00B95A30"/>
    <w:rsid w:val="00CF0829"/>
    <w:rsid w:val="00EA6D44"/>
    <w:rsid w:val="00F151C9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51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51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7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Augustova</dc:creator>
  <cp:lastModifiedBy>Zdenka Augustova</cp:lastModifiedBy>
  <cp:revision>2</cp:revision>
  <dcterms:created xsi:type="dcterms:W3CDTF">2020-03-17T08:18:00Z</dcterms:created>
  <dcterms:modified xsi:type="dcterms:W3CDTF">2020-03-17T08:21:00Z</dcterms:modified>
</cp:coreProperties>
</file>